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83B18"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  <w14:ligatures w14:val="none"/>
        </w:rPr>
        <w:tab/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  <w14:ligatures w14:val="none"/>
        </w:rPr>
        <w:t>附件1</w:t>
      </w:r>
    </w:p>
    <w:p w14:paraId="03A3EFD1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  <w14:ligatures w14:val="none"/>
        </w:rPr>
        <w:t>采购需求</w:t>
      </w:r>
    </w:p>
    <w:p w14:paraId="6F89947E">
      <w:pPr>
        <w:spacing w:line="560" w:lineRule="exact"/>
        <w:jc w:val="center"/>
        <w:rPr>
          <w:rFonts w:hint="default" w:ascii="方正小标宋_GBK" w:hAnsi="Arial" w:eastAsia="方正小标宋_GBK" w:cs="Arial"/>
          <w:bCs/>
          <w:sz w:val="44"/>
          <w:szCs w:val="44"/>
          <w:lang w:val="en-US" w:eastAsia="zh-CN"/>
          <w14:ligatures w14:val="none"/>
        </w:rPr>
      </w:pPr>
    </w:p>
    <w:p w14:paraId="50456181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服务单位应根据国家的有关法规、技术规范和标准，采用符合或优于检测服务要求（详见附件1）的方式，进行指定路段的照明质量综合检测。根据检测过程及结果，通过问题反馈、解决建议提供、优化后复测等方式，为照明公司提供专业完整、指定认证的</w:t>
      </w: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照明质量检测报告、减碳核算分析报告等</w:t>
      </w: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成果资料。</w:t>
      </w:r>
    </w:p>
    <w:p w14:paraId="754C26F0">
      <w:pPr>
        <w:widowControl w:val="0"/>
        <w:kinsoku/>
        <w:topLinePunct/>
        <w:spacing w:before="112" w:line="560" w:lineRule="exact"/>
        <w:ind w:firstLine="628" w:firstLineChars="200"/>
        <w:contextualSpacing/>
        <w:rPr>
          <w:rFonts w:hint="eastAsia" w:ascii="黑体" w:hAnsi="黑体" w:eastAsia="黑体" w:cs="微软雅黑"/>
          <w:spacing w:val="-3"/>
          <w:sz w:val="32"/>
          <w:szCs w:val="32"/>
          <w:lang w:val="en-US" w:eastAsia="zh-CN"/>
          <w14:ligatures w14:val="none"/>
        </w:rPr>
      </w:pPr>
      <w:r>
        <w:rPr>
          <w:rFonts w:hint="eastAsia" w:ascii="黑体" w:hAnsi="黑体" w:eastAsia="黑体" w:cs="微软雅黑"/>
          <w:spacing w:val="-3"/>
          <w:sz w:val="32"/>
          <w:szCs w:val="32"/>
          <w:lang w:val="en-US" w:eastAsia="zh-CN"/>
          <w14:ligatures w14:val="none"/>
        </w:rPr>
        <w:t>一、道路照明质量全项检测</w:t>
      </w:r>
    </w:p>
    <w:p w14:paraId="088E5AEC">
      <w:pPr>
        <w:widowControl w:val="0"/>
        <w:kinsoku/>
        <w:topLinePunct/>
        <w:spacing w:before="72" w:line="560" w:lineRule="exact"/>
        <w:ind w:right="420" w:firstLine="648" w:firstLineChars="200"/>
        <w:contextualSpacing/>
        <w:jc w:val="both"/>
        <w:rPr>
          <w:rFonts w:hint="eastAsia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</w:pPr>
      <w:r>
        <w:rPr>
          <w:rFonts w:hint="eastAsia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  <w:t>（一）检测范围及数量</w:t>
      </w:r>
    </w:p>
    <w:p w14:paraId="3B7D837A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10</w:t>
      </w: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条，暂定胶宁高架路、环湾路、跨海大桥高架路、银川西路、黑龙江</w:t>
      </w: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中</w:t>
      </w: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路、永平路、四流中路、</w:t>
      </w: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四流北路、</w:t>
      </w: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遵义路</w:t>
      </w: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、同安路</w:t>
      </w: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的节能改造区域，实际检测道路以后期协议约定为准。</w:t>
      </w:r>
    </w:p>
    <w:p w14:paraId="75680340">
      <w:pPr>
        <w:widowControl w:val="0"/>
        <w:kinsoku/>
        <w:topLinePunct/>
        <w:spacing w:before="72" w:line="560" w:lineRule="exact"/>
        <w:ind w:right="420" w:firstLine="648" w:firstLineChars="200"/>
        <w:contextualSpacing/>
        <w:jc w:val="both"/>
        <w:rPr>
          <w:rFonts w:hint="default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</w:pPr>
      <w:r>
        <w:rPr>
          <w:rFonts w:hint="eastAsia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  <w:t>（二）检测要求</w:t>
      </w:r>
    </w:p>
    <w:p w14:paraId="2E1BE88B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全面检测节能改造路段的路面平均照度、照度均匀度、环境比、平均亮度、亮度总均匀度、亮度纵向均匀度、阈值增量、色温、显色指数、灯杆电参数、系统电参数</w:t>
      </w: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等，并综合考虑和排查光干扰、光污染类影响因素、参照参数等，</w:t>
      </w: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出具检测报告。</w:t>
      </w:r>
    </w:p>
    <w:p w14:paraId="3D7041A0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照度测量：参照附件3《检测服务要求》内容</w:t>
      </w: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。</w:t>
      </w:r>
    </w:p>
    <w:p w14:paraId="6E925503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亮度测量：参照附件3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《检测服务要求》内容</w:t>
      </w: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。</w:t>
      </w:r>
    </w:p>
    <w:p w14:paraId="4B05E110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色温和显色指数：同一测量路段的显色指数和色温测点≥9。</w:t>
      </w:r>
    </w:p>
    <w:p w14:paraId="49E8F9C0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阈值增量：TI值。</w:t>
      </w:r>
    </w:p>
    <w:p w14:paraId="2CFD611F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单个路灯的电气参数，如工作电流、输入功率、功率因数等</w:t>
      </w: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。</w:t>
      </w:r>
    </w:p>
    <w:p w14:paraId="29673640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照明系统的电气参数，如电源电压、工作电流、系统功率、功率因数等，计算出照明功率密度。</w:t>
      </w:r>
    </w:p>
    <w:p w14:paraId="2F3A378A">
      <w:pPr>
        <w:widowControl w:val="0"/>
        <w:kinsoku/>
        <w:topLinePunct/>
        <w:spacing w:before="72" w:line="560" w:lineRule="exact"/>
        <w:ind w:right="420" w:firstLine="648" w:firstLineChars="200"/>
        <w:contextualSpacing/>
        <w:jc w:val="both"/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  <w:t>（三）成果形式：</w:t>
      </w: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检测报告。</w:t>
      </w:r>
    </w:p>
    <w:p w14:paraId="643B2256">
      <w:pPr>
        <w:widowControl w:val="0"/>
        <w:kinsoku/>
        <w:topLinePunct/>
        <w:spacing w:before="112" w:line="560" w:lineRule="exact"/>
        <w:ind w:firstLine="628" w:firstLineChars="200"/>
        <w:contextualSpacing/>
        <w:rPr>
          <w:rFonts w:hint="eastAsia" w:ascii="黑体" w:hAnsi="黑体" w:eastAsia="黑体" w:cs="微软雅黑"/>
          <w:spacing w:val="-3"/>
          <w:sz w:val="32"/>
          <w:szCs w:val="32"/>
          <w:lang w:val="en-US" w:eastAsia="zh-CN"/>
          <w14:ligatures w14:val="none"/>
        </w:rPr>
      </w:pPr>
      <w:r>
        <w:rPr>
          <w:rFonts w:hint="eastAsia" w:ascii="黑体" w:hAnsi="黑体" w:eastAsia="黑体" w:cs="微软雅黑"/>
          <w:spacing w:val="-3"/>
          <w:sz w:val="32"/>
          <w:szCs w:val="32"/>
          <w:lang w:val="en-US" w:eastAsia="zh-CN"/>
          <w14:ligatures w14:val="none"/>
        </w:rPr>
        <w:t>二、道路照明质量专项检测</w:t>
      </w:r>
    </w:p>
    <w:p w14:paraId="243C020A">
      <w:pPr>
        <w:widowControl w:val="0"/>
        <w:kinsoku/>
        <w:topLinePunct/>
        <w:spacing w:before="72" w:line="560" w:lineRule="exact"/>
        <w:ind w:right="420" w:firstLine="648" w:firstLineChars="200"/>
        <w:contextualSpacing/>
        <w:jc w:val="both"/>
        <w:rPr>
          <w:rFonts w:hint="eastAsia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</w:pPr>
      <w:r>
        <w:rPr>
          <w:rFonts w:hint="eastAsia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  <w:t>（一）检测范围及数量</w:t>
      </w:r>
    </w:p>
    <w:p w14:paraId="5C1F1495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7条，暂定江西路、同安路、夏庄路、书院路、巨峰路、</w:t>
      </w: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中崂路</w:t>
      </w: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绿城片区、赵红路、天水路的节能改造区域，实际检测道路以后期协议约定为准。</w:t>
      </w:r>
    </w:p>
    <w:p w14:paraId="362BEB88">
      <w:pPr>
        <w:widowControl w:val="0"/>
        <w:kinsoku/>
        <w:topLinePunct/>
        <w:spacing w:before="72" w:line="560" w:lineRule="exact"/>
        <w:ind w:right="420" w:firstLine="648" w:firstLineChars="200"/>
        <w:contextualSpacing/>
        <w:jc w:val="both"/>
        <w:rPr>
          <w:rFonts w:hint="default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</w:pPr>
      <w:r>
        <w:rPr>
          <w:rFonts w:hint="eastAsia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  <w:t>（二）检测要求</w:t>
      </w:r>
    </w:p>
    <w:p w14:paraId="537394EF">
      <w:pPr>
        <w:widowControl w:val="0"/>
        <w:kinsoku/>
        <w:topLinePunct/>
        <w:spacing w:before="72" w:line="560" w:lineRule="exact"/>
        <w:ind w:right="420" w:firstLine="652" w:firstLineChars="200"/>
        <w:contextualSpacing/>
        <w:jc w:val="both"/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检测节能改造路段的路面平均照度、照度均匀度、环境比、色温、显色指数、灯杆电参数等</w:t>
      </w:r>
      <w:r>
        <w:rPr>
          <w:rFonts w:hint="eastAsia" w:ascii="仿宋_GB2312" w:hAnsi="宋体" w:cs="宋体"/>
          <w:spacing w:val="3"/>
          <w:sz w:val="32"/>
          <w:szCs w:val="32"/>
          <w:lang w:val="en-US" w:eastAsia="zh-CN"/>
          <w14:ligatures w14:val="none"/>
        </w:rPr>
        <w:t>，并综合考虑和排查光干扰、光污染类影响因素、参照参数等，</w:t>
      </w:r>
      <w:r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出具检测报告。参数取数具体要求同上</w:t>
      </w:r>
    </w:p>
    <w:p w14:paraId="3F6F211B">
      <w:pPr>
        <w:widowControl w:val="0"/>
        <w:kinsoku/>
        <w:topLinePunct/>
        <w:spacing w:before="72" w:line="560" w:lineRule="exact"/>
        <w:ind w:right="420" w:firstLine="648" w:firstLineChars="200"/>
        <w:contextualSpacing/>
        <w:jc w:val="both"/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  <w:t>（三）成果形式：</w:t>
      </w: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检测报告。</w:t>
      </w:r>
    </w:p>
    <w:p w14:paraId="6CCD2661">
      <w:pPr>
        <w:widowControl w:val="0"/>
        <w:kinsoku/>
        <w:topLinePunct/>
        <w:spacing w:before="112" w:line="560" w:lineRule="exact"/>
        <w:ind w:firstLine="628" w:firstLineChars="200"/>
        <w:contextualSpacing/>
        <w:rPr>
          <w:rFonts w:hint="eastAsia" w:ascii="黑体" w:hAnsi="黑体" w:eastAsia="黑体" w:cs="微软雅黑"/>
          <w:spacing w:val="-3"/>
          <w:sz w:val="32"/>
          <w:szCs w:val="32"/>
          <w:lang w:val="en-US" w:eastAsia="zh-CN"/>
          <w14:ligatures w14:val="none"/>
        </w:rPr>
      </w:pPr>
      <w:r>
        <w:rPr>
          <w:rFonts w:hint="eastAsia" w:ascii="黑体" w:hAnsi="黑体" w:eastAsia="黑体" w:cs="微软雅黑"/>
          <w:spacing w:val="-3"/>
          <w:sz w:val="32"/>
          <w:szCs w:val="32"/>
          <w:lang w:val="en-US" w:eastAsia="zh-CN"/>
          <w14:ligatures w14:val="none"/>
        </w:rPr>
        <w:t>三、减碳报告</w:t>
      </w:r>
    </w:p>
    <w:p w14:paraId="14C36DCA">
      <w:pPr>
        <w:widowControl w:val="0"/>
        <w:kinsoku/>
        <w:topLinePunct/>
        <w:spacing w:before="72" w:line="560" w:lineRule="exact"/>
        <w:ind w:right="420" w:firstLine="648" w:firstLineChars="200"/>
        <w:contextualSpacing/>
        <w:jc w:val="both"/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  <w:t>（一）具体要求：</w:t>
      </w:r>
      <w:r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基于检测数值及改造内容计算本次节能改造的精确节能量，并换算成减碳量，出具专业报告。</w:t>
      </w:r>
    </w:p>
    <w:p w14:paraId="53643151">
      <w:pPr>
        <w:widowControl w:val="0"/>
        <w:kinsoku/>
        <w:topLinePunct/>
        <w:spacing w:before="72" w:line="560" w:lineRule="exact"/>
        <w:ind w:right="420" w:firstLine="648" w:firstLineChars="200"/>
        <w:contextualSpacing/>
        <w:jc w:val="both"/>
        <w:rPr>
          <w:rFonts w:hint="default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</w:pPr>
      <w:r>
        <w:rPr>
          <w:rFonts w:hint="eastAsia" w:ascii="楷体_GB2312" w:hAnsi="宋体" w:eastAsia="楷体_GB2312" w:cs="宋体"/>
          <w:spacing w:val="2"/>
          <w:sz w:val="32"/>
          <w:szCs w:val="32"/>
          <w:highlight w:val="none"/>
          <w:lang w:val="en-US" w:eastAsia="zh-CN"/>
          <w14:ligatures w14:val="none"/>
        </w:rPr>
        <w:t>（二）成果形式：</w:t>
      </w:r>
      <w:r>
        <w:rPr>
          <w:rFonts w:hint="eastAsia" w:ascii="仿宋_GB2312" w:hAnsi="宋体" w:eastAsia="仿宋_GB2312" w:cs="宋体"/>
          <w:spacing w:val="3"/>
          <w:sz w:val="32"/>
          <w:szCs w:val="32"/>
          <w:lang w:val="en-US" w:eastAsia="zh-CN"/>
          <w14:ligatures w14:val="none"/>
        </w:rPr>
        <w:t>专项报告（含认证证书等）。</w:t>
      </w:r>
    </w:p>
    <w:p w14:paraId="1AF7D79F">
      <w:pPr>
        <w:widowControl w:val="0"/>
        <w:kinsoku/>
        <w:topLinePunct/>
        <w:spacing w:before="112" w:line="560" w:lineRule="exact"/>
        <w:ind w:firstLine="628" w:firstLineChars="200"/>
        <w:contextualSpacing/>
        <w:rPr>
          <w:rFonts w:hint="eastAsia" w:ascii="黑体" w:hAnsi="黑体" w:eastAsia="黑体" w:cs="微软雅黑"/>
          <w:spacing w:val="-3"/>
          <w:sz w:val="32"/>
          <w:szCs w:val="32"/>
          <w:lang w:val="en-US" w:eastAsia="zh-CN"/>
          <w14:ligatures w14:val="none"/>
        </w:rPr>
      </w:pPr>
      <w:r>
        <w:rPr>
          <w:rFonts w:hint="eastAsia" w:ascii="黑体" w:hAnsi="黑体" w:eastAsia="黑体" w:cs="微软雅黑"/>
          <w:spacing w:val="-3"/>
          <w:sz w:val="32"/>
          <w:szCs w:val="32"/>
          <w:lang w:val="en-US" w:eastAsia="zh-CN"/>
          <w14:ligatures w14:val="none"/>
        </w:rPr>
        <w:t>四、基于检测成果及现场实际情况，提供现场道路照明质量改进或优化建议。</w:t>
      </w:r>
    </w:p>
    <w:p w14:paraId="2921CB3A">
      <w:pPr>
        <w:widowControl w:val="0"/>
        <w:kinsoku/>
        <w:topLinePunct/>
        <w:spacing w:before="112" w:line="560" w:lineRule="exact"/>
        <w:ind w:firstLine="628" w:firstLineChars="200"/>
        <w:contextualSpacing/>
        <w:rPr>
          <w:rFonts w:hint="eastAsia" w:ascii="微软雅黑" w:hAnsi="微软雅黑" w:eastAsia="微软雅黑" w:cs="微软雅黑"/>
          <w:i w:val="0"/>
          <w:iCs w:val="0"/>
          <w:caps w:val="0"/>
          <w:color w:val="767676"/>
          <w:spacing w:val="0"/>
          <w:sz w:val="27"/>
          <w:szCs w:val="27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微软雅黑"/>
          <w:spacing w:val="-3"/>
          <w:sz w:val="32"/>
          <w:szCs w:val="32"/>
          <w:lang w:val="en-US" w:eastAsia="zh-CN"/>
          <w14:ligatures w14:val="none"/>
        </w:rPr>
        <w:t>五、指派专业实施人员提供现场检测服务和专项对接，并通过线上或线下等多种形式进行成果的交底培训、资料答疑、数据信息解释等相关售后服务。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